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D1" w:rsidRPr="00A160D1" w:rsidRDefault="00A160D1" w:rsidP="00A160D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160D1" w:rsidRPr="00A160D1" w:rsidRDefault="00A160D1" w:rsidP="00A160D1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>№ 22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A160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от  29.07.2024  г.</w:t>
      </w:r>
    </w:p>
    <w:p w:rsidR="00A160D1" w:rsidRPr="00A160D1" w:rsidRDefault="00A160D1" w:rsidP="00A160D1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0D1"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EA6359" w:rsidRPr="00BB4673" w:rsidRDefault="00EA6359" w:rsidP="00BB4673">
      <w:pPr>
        <w:spacing w:after="0" w:line="240" w:lineRule="auto"/>
        <w:ind w:firstLine="142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Положения о порядке проведения схода граждан на</w:t>
      </w:r>
      <w:r w:rsidR="00BB4673"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территории </w:t>
      </w:r>
      <w:r w:rsidR="00A160D1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bCs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</w:t>
      </w:r>
      <w:r w:rsidR="001D3258">
        <w:rPr>
          <w:rFonts w:ascii="Arial" w:hAnsi="Arial" w:cs="Arial"/>
          <w:color w:val="000000" w:themeColor="text1"/>
          <w:sz w:val="24"/>
          <w:szCs w:val="24"/>
        </w:rPr>
        <w:t xml:space="preserve">, информацией прокуратуры </w:t>
      </w:r>
      <w:r w:rsidR="00B17F04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района Воронежской области </w:t>
      </w:r>
      <w:bookmarkStart w:id="0" w:name="_GoBack"/>
      <w:bookmarkEnd w:id="0"/>
      <w:r w:rsidR="001D3258">
        <w:rPr>
          <w:rFonts w:ascii="Arial" w:hAnsi="Arial" w:cs="Arial"/>
          <w:color w:val="000000" w:themeColor="text1"/>
          <w:sz w:val="24"/>
          <w:szCs w:val="24"/>
        </w:rPr>
        <w:t>от 05.07.2024 № 2-12-2024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Совет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народных депутатов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:rsidR="00A160D1" w:rsidRPr="00BB4673" w:rsidRDefault="00A160D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</w:t>
      </w:r>
      <w:r w:rsidR="006A15C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Утвердить Положение о порядке проведения схода граждан на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территории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муниципального района Воронежской области согласно приложению.</w:t>
      </w:r>
    </w:p>
    <w:p w:rsidR="00A160D1" w:rsidRPr="00BB4673" w:rsidRDefault="00A160D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Опубликовать настоящее решение в «Вестнике муниципальных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правовых актов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области» и на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официальном сайте администрации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 Воронежской области в сети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Интернет.</w:t>
      </w:r>
    </w:p>
    <w:p w:rsidR="00A160D1" w:rsidRPr="00BB4673" w:rsidRDefault="00A160D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 Настоящее решение вступает в силу с момента его официального</w:t>
      </w:r>
      <w:r w:rsidR="00BB4673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A160D1" w:rsidRPr="00BB4673" w:rsidRDefault="00A160D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4. Контроль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ис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полнени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решения возложить на г</w:t>
      </w:r>
      <w:r w:rsidRPr="00BB4673">
        <w:rPr>
          <w:rFonts w:ascii="Arial" w:hAnsi="Arial" w:cs="Arial"/>
          <w:iCs/>
          <w:color w:val="000000" w:themeColor="text1"/>
          <w:sz w:val="24"/>
          <w:szCs w:val="24"/>
        </w:rPr>
        <w:t xml:space="preserve">лаву </w:t>
      </w:r>
      <w:r w:rsidR="00A160D1">
        <w:rPr>
          <w:rFonts w:ascii="Arial" w:hAnsi="Arial" w:cs="Arial"/>
          <w:iCs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i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района.</w:t>
      </w: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60D1" w:rsidRDefault="00A160D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60D1" w:rsidRPr="00BB4673" w:rsidRDefault="00A160D1" w:rsidP="00A160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031"/>
        <w:gridCol w:w="2111"/>
      </w:tblGrid>
      <w:tr w:rsidR="00EA6359" w:rsidRPr="00BB4673" w:rsidTr="00A160D1">
        <w:trPr>
          <w:jc w:val="center"/>
        </w:trPr>
        <w:tc>
          <w:tcPr>
            <w:tcW w:w="4786" w:type="dxa"/>
          </w:tcPr>
          <w:p w:rsidR="00EA6359" w:rsidRPr="00BB4673" w:rsidRDefault="00EA6359" w:rsidP="00A160D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Глава </w:t>
            </w:r>
            <w:r w:rsidR="00A160D1">
              <w:rPr>
                <w:rFonts w:ascii="Arial" w:hAnsi="Arial" w:cs="Arial"/>
                <w:color w:val="000000" w:themeColor="text1"/>
                <w:szCs w:val="24"/>
              </w:rPr>
              <w:t>Бугаевского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2031" w:type="dxa"/>
          </w:tcPr>
          <w:p w:rsidR="00EA6359" w:rsidRPr="00BB4673" w:rsidRDefault="00EA6359" w:rsidP="00A160D1">
            <w:pPr>
              <w:pStyle w:val="a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111" w:type="dxa"/>
          </w:tcPr>
          <w:p w:rsidR="00EA6359" w:rsidRPr="00BB4673" w:rsidRDefault="00A160D1" w:rsidP="00A160D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Н. В. Воронько</w:t>
            </w:r>
          </w:p>
        </w:tc>
      </w:tr>
    </w:tbl>
    <w:p w:rsidR="00EA6359" w:rsidRPr="00BB4673" w:rsidRDefault="00EA6359" w:rsidP="00A160D1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88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9"/>
        <w:gridCol w:w="1719"/>
        <w:gridCol w:w="1903"/>
      </w:tblGrid>
      <w:tr w:rsidR="00BB4673" w:rsidRPr="00BB4673" w:rsidTr="00A160D1">
        <w:trPr>
          <w:jc w:val="center"/>
        </w:trPr>
        <w:tc>
          <w:tcPr>
            <w:tcW w:w="5189" w:type="dxa"/>
          </w:tcPr>
          <w:p w:rsidR="00EA6359" w:rsidRPr="00BB4673" w:rsidRDefault="00EA6359" w:rsidP="00A160D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Председатель Совета народных депутатов </w:t>
            </w:r>
            <w:r w:rsidR="00A160D1">
              <w:rPr>
                <w:rFonts w:ascii="Arial" w:hAnsi="Arial" w:cs="Arial"/>
                <w:color w:val="000000" w:themeColor="text1"/>
                <w:szCs w:val="24"/>
              </w:rPr>
              <w:t>Бугаевского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 поселения</w:t>
            </w:r>
          </w:p>
        </w:tc>
        <w:tc>
          <w:tcPr>
            <w:tcW w:w="1719" w:type="dxa"/>
          </w:tcPr>
          <w:p w:rsidR="00EA6359" w:rsidRPr="00BB4673" w:rsidRDefault="00EA6359" w:rsidP="00A160D1">
            <w:pPr>
              <w:pStyle w:val="a3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1903" w:type="dxa"/>
          </w:tcPr>
          <w:p w:rsidR="00EA6359" w:rsidRPr="00BB4673" w:rsidRDefault="00A160D1" w:rsidP="00A160D1">
            <w:pPr>
              <w:pStyle w:val="a3"/>
              <w:rPr>
                <w:rFonts w:ascii="Arial" w:hAnsi="Arial" w:cs="Arial"/>
                <w:color w:val="000000" w:themeColor="text1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Cs w:val="24"/>
              </w:rPr>
              <w:t>Н. В. Гресева</w:t>
            </w:r>
          </w:p>
        </w:tc>
      </w:tr>
    </w:tbl>
    <w:p w:rsidR="00EA6359" w:rsidRPr="00BB4673" w:rsidRDefault="00EA6359" w:rsidP="00A160D1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EA6359" w:rsidRPr="00BB4673" w:rsidRDefault="00EA6359" w:rsidP="00CE662D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депутатов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 xml:space="preserve"> Бугаевского </w:t>
      </w:r>
      <w:r w:rsidR="00041A23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 xml:space="preserve">29.07.2024 г.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223</w:t>
      </w:r>
    </w:p>
    <w:p w:rsidR="00CE662D" w:rsidRPr="00043993" w:rsidRDefault="00CE66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60D1" w:rsidRDefault="00A160D1" w:rsidP="00A16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A16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ПОЛОЖЕНИЕ</w:t>
      </w:r>
    </w:p>
    <w:p w:rsidR="00EA6359" w:rsidRPr="00BB4673" w:rsidRDefault="00EA6359" w:rsidP="00A160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 порядке проведения схода граждан на территории</w:t>
      </w:r>
      <w:r w:rsidR="00CE662D" w:rsidRPr="00CE66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 Общие положения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1.1. Граждане Российской Федерации имеют равные права на участие в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сходе граждан независимо от пола, расы, национальности, языка,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происхождения, имущественного и должностного положения, отношения к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религии, убеждений, принадлежности к общественным объединениям.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Правом участия в сходе граждан обладают жители поселения, обладающие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избирательным правом в соответствии законодательством.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На основании части </w:t>
      </w:r>
      <w:r w:rsidR="008B4D64">
        <w:rPr>
          <w:rFonts w:ascii="Arial" w:hAnsi="Arial" w:cs="Arial"/>
          <w:color w:val="000000" w:themeColor="text1"/>
          <w:sz w:val="24"/>
          <w:szCs w:val="24"/>
        </w:rPr>
        <w:t>1 статьи 25.1. Федерального закона</w:t>
      </w:r>
      <w:r w:rsidR="008B4D64" w:rsidRPr="008B4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D64" w:rsidRPr="00BB4673">
        <w:rPr>
          <w:rFonts w:ascii="Arial" w:hAnsi="Arial" w:cs="Arial"/>
          <w:color w:val="000000" w:themeColor="text1"/>
          <w:sz w:val="24"/>
          <w:szCs w:val="24"/>
        </w:rPr>
        <w:t>от 06.10.2003 № 131-ФЗ «Об</w:t>
      </w:r>
      <w:r w:rsidR="008B4D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4D64" w:rsidRPr="00BB4673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 Федерации»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сход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может проводиться</w:t>
      </w:r>
      <w:r w:rsidR="00CF68EE">
        <w:rPr>
          <w:rFonts w:ascii="Arial" w:hAnsi="Arial" w:cs="Arial"/>
          <w:color w:val="000000" w:themeColor="text1"/>
          <w:sz w:val="24"/>
          <w:szCs w:val="24"/>
        </w:rPr>
        <w:t xml:space="preserve"> в следующих случаях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1.2.1. в населенном пункте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вопросу изменения границ поселения (муниципального района), в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состав которого входит указанный населенный пункт, влекущего отнесение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территории указанного населенного пункта к территории другого поселения</w:t>
      </w:r>
      <w:r w:rsidR="003C64E2"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(муниципального района);</w:t>
      </w:r>
    </w:p>
    <w:p w:rsidR="00EA6359" w:rsidRPr="00043993" w:rsidRDefault="00EE3F2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1.2.2</w:t>
      </w:r>
      <w:r w:rsidR="00EA6359" w:rsidRPr="00043993">
        <w:rPr>
          <w:rFonts w:ascii="Arial" w:hAnsi="Arial" w:cs="Arial"/>
          <w:color w:val="000000" w:themeColor="text1"/>
          <w:sz w:val="24"/>
          <w:szCs w:val="24"/>
        </w:rPr>
        <w:t>. в населенном пункте, входящем в состав поселения,</w:t>
      </w:r>
      <w:r w:rsidR="00040D74" w:rsidRPr="000439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043993">
        <w:rPr>
          <w:rFonts w:ascii="Arial" w:hAnsi="Arial" w:cs="Arial"/>
          <w:color w:val="000000" w:themeColor="text1"/>
          <w:sz w:val="24"/>
          <w:szCs w:val="24"/>
        </w:rPr>
        <w:t>по вопросу введения и использования средств самообложения граждан на территории данного населенного пункта;</w:t>
      </w: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4399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EE3F21">
        <w:rPr>
          <w:rFonts w:ascii="Arial" w:hAnsi="Arial" w:cs="Arial"/>
          <w:color w:val="000000" w:themeColor="text1"/>
          <w:sz w:val="24"/>
          <w:szCs w:val="24"/>
        </w:rPr>
        <w:t>3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817AA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законом Воронежской области </w:t>
      </w:r>
      <w:proofErr w:type="gramStart"/>
      <w:r w:rsidR="00B817AA">
        <w:rPr>
          <w:rFonts w:ascii="Arial" w:hAnsi="Arial" w:cs="Arial"/>
          <w:color w:val="000000" w:themeColor="text1"/>
          <w:sz w:val="24"/>
          <w:szCs w:val="24"/>
        </w:rPr>
        <w:t>на части территории</w:t>
      </w:r>
      <w:proofErr w:type="gramEnd"/>
      <w:r w:rsidR="00B817AA">
        <w:rPr>
          <w:rFonts w:ascii="Arial" w:hAnsi="Arial" w:cs="Arial"/>
          <w:color w:val="000000" w:themeColor="text1"/>
          <w:sz w:val="24"/>
          <w:szCs w:val="24"/>
        </w:rPr>
        <w:t xml:space="preserve"> населенного пункта, входящего в состав поселения, по вопросу введения и использования средств самообложения граждан</w:t>
      </w:r>
      <w:r w:rsidR="00E94B79">
        <w:rPr>
          <w:rFonts w:ascii="Arial" w:hAnsi="Arial" w:cs="Arial"/>
          <w:color w:val="000000" w:themeColor="text1"/>
          <w:sz w:val="24"/>
          <w:szCs w:val="24"/>
        </w:rPr>
        <w:t xml:space="preserve"> на данной части территории населенного пункта;</w:t>
      </w:r>
    </w:p>
    <w:p w:rsidR="003152B9" w:rsidRDefault="003152B9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1.2.</w:t>
      </w:r>
      <w:r w:rsidR="00EE3F21">
        <w:rPr>
          <w:rFonts w:ascii="Arial" w:hAnsi="Arial" w:cs="Arial"/>
          <w:color w:val="000000" w:themeColor="text1"/>
          <w:sz w:val="24"/>
          <w:szCs w:val="24"/>
        </w:rPr>
        <w:t>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. в </w:t>
      </w:r>
      <w:r w:rsidR="00A672B8">
        <w:rPr>
          <w:rFonts w:ascii="Arial" w:hAnsi="Arial" w:cs="Arial"/>
          <w:color w:val="000000" w:themeColor="text1"/>
          <w:sz w:val="24"/>
          <w:szCs w:val="24"/>
        </w:rPr>
        <w:t xml:space="preserve">сельском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населенном пункте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</w:t>
      </w:r>
      <w:r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вопросу выдвижения кандидатуры 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>старосты сельского населенного пункта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, а</w:t>
      </w:r>
      <w:r w:rsidRPr="003C64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также по вопросу досрочного прекращения полномочий </w:t>
      </w:r>
      <w:r w:rsidRPr="00043993">
        <w:rPr>
          <w:rFonts w:ascii="Arial" w:hAnsi="Arial" w:cs="Arial"/>
          <w:color w:val="000000" w:themeColor="text1"/>
          <w:sz w:val="24"/>
          <w:szCs w:val="24"/>
        </w:rPr>
        <w:t>старосты сельского населенного пункта;</w:t>
      </w:r>
    </w:p>
    <w:p w:rsidR="00A672B8" w:rsidRPr="00BB4673" w:rsidRDefault="00EE3F21" w:rsidP="00315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1.2.5.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>
        <w:rPr>
          <w:rFonts w:ascii="Arial" w:hAnsi="Arial" w:cs="Arial"/>
          <w:color w:val="000000" w:themeColor="text1"/>
          <w:sz w:val="24"/>
          <w:szCs w:val="24"/>
        </w:rPr>
        <w:t xml:space="preserve">в сельском населенном пункте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в целях выдвижения кандидатур в состав конкурсной комиссии при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проведении конкурса на замещение должности муниципальной службы в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случаях, предусмотренных законодательством Российской Федерации о</w:t>
      </w:r>
      <w:r w:rsidR="00A672B8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72B8" w:rsidRPr="00BB4673">
        <w:rPr>
          <w:rFonts w:ascii="Arial" w:hAnsi="Arial" w:cs="Arial"/>
          <w:color w:val="000000" w:themeColor="text1"/>
          <w:sz w:val="24"/>
          <w:szCs w:val="24"/>
        </w:rPr>
        <w:t>муниципальной службе.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Порядок назначения схода граждан</w:t>
      </w:r>
    </w:p>
    <w:p w:rsidR="00EA6359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2.1 Сход граждан для решения вопросов, предусмотренных подпунктом 1.2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настоящего Положения, может созываться главой поселения (лицом,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исполняющим его полномочия) самостоятельно либо по инициативе группы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жителей поселения ч</w:t>
      </w:r>
      <w:r w:rsidR="00D11F39">
        <w:rPr>
          <w:rFonts w:ascii="Arial" w:hAnsi="Arial" w:cs="Arial"/>
          <w:color w:val="000000" w:themeColor="text1"/>
          <w:sz w:val="24"/>
          <w:szCs w:val="24"/>
        </w:rPr>
        <w:t>исленностью не менее 10 человек, за исключением п. 1.2.3 настоящего Положения.</w:t>
      </w:r>
    </w:p>
    <w:p w:rsidR="0000252D" w:rsidRDefault="0000252D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Сход граждан, предусмотренный п. 1.2.3 настоящего Положения, может созываться Советом народных депутатов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по инициативе группы жителей соответствующей части территории населенного пункта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численностью не менее 10 человек.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Инициатива группы жителей поселений реализуется путем направления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коллективного письменного обращения в администрацию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(далее по тексту - администрация)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 ходатайством об организации схода граждан населенного пункта или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населенных пунктов по вопросам, указанным в п. 1.2 настоящего Положения.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В указанном обращении должны быть указаны фамилии, имена, отчества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лиц, направивших обращение (полностью), адреса мест их постоянного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Воронежской области, муниципальными правовыми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актами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033D7B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поселения, основания для досрочного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прекращения полномочий ранее избранного старосты (в случае инициирования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схода по вопросам, указанным в п. 1.2.</w:t>
      </w:r>
      <w:r w:rsidR="007B07E5">
        <w:rPr>
          <w:rFonts w:ascii="Arial" w:hAnsi="Arial" w:cs="Arial"/>
          <w:color w:val="000000" w:themeColor="text1"/>
          <w:sz w:val="24"/>
          <w:szCs w:val="24"/>
        </w:rPr>
        <w:t>4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Проведение схода обеспечивается главой сельского поселения (лицом,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исполняющим его полномочия).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</w:t>
      </w:r>
      <w:r w:rsidR="009912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 При поступлении в администрацию поселения обращения, указанного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пункте 2.1 настоящего Положения, администрация поселения в течение 20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дней со дня поступления принимает решение в форме постановления 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проведении схода граждан или об отказе в проведении схода. </w:t>
      </w: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Решение об отказе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проведении схода может быть принято в случае, если инициатива граждан,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указанная в пункте 2.1 настоящего Положения, не соответствуют требованиям к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заявлениям, предусмотренным в данном пункте Положения, а также, если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кандидат в старосты, выдвижение которого осуществляется инициативной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группой граждан, не соответствует требованиям к лицам, претендующим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должность старосты населенного пункта, предусмотренным законодательством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Российской Федерации, Воронежской области, муниципальными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правовыми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актами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9E20AD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 или если (в случае поступления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инициативы о досрочном прекращении полномочий ранее избранного старосты населенного пункта) предоставленные сведения не могут являться основанием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для прекращения полномочий старосты населенного пункта поселения.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 принятом решении администрация информирует заявителей в течение 5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рабочих дня со дня его принятия, с приложением копии постановления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администрации поселения о проведении схода или об отказе в проведении схода.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Постановление администрации о проведении схода должно содержать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дату, место и время его проведения, порядок регистрации участников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голосования, порядок проведения голосования в соответствии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законодательством и порядок подведения итогов голосования, перечень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вопросов, выносимых на голосование, в том числе сведения о кандидатах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«О персональных данных» (при условии организации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 вопросу избрания или досрочного прекращения полномочий старосты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населенного пункта поселения).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Администрация, назначившая сход граждан, должна известить жителей,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указанных в пункте 1.1 настоящего Положения, о готовящемся сходе не позднее,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чем за 20 рабочих дней до его проведения, путем размещения информации,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предусмотренной </w:t>
      </w:r>
      <w:proofErr w:type="spellStart"/>
      <w:r w:rsidRPr="00BB4673">
        <w:rPr>
          <w:rFonts w:ascii="Arial" w:hAnsi="Arial" w:cs="Arial"/>
          <w:color w:val="000000" w:themeColor="text1"/>
          <w:sz w:val="24"/>
          <w:szCs w:val="24"/>
        </w:rPr>
        <w:t>аб</w:t>
      </w:r>
      <w:proofErr w:type="spellEnd"/>
      <w:r w:rsidRPr="00BB4673">
        <w:rPr>
          <w:rFonts w:ascii="Arial" w:hAnsi="Arial" w:cs="Arial"/>
          <w:color w:val="000000" w:themeColor="text1"/>
          <w:sz w:val="24"/>
          <w:szCs w:val="24"/>
        </w:rPr>
        <w:t>. 3 п. 2.</w:t>
      </w:r>
      <w:r w:rsidR="00F87AE5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 на официальном сайте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поселения в сети «Интернет»: </w:t>
      </w:r>
      <w:hyperlink r:id="rId6" w:history="1">
        <w:r w:rsidR="00A160D1" w:rsidRPr="0084300D">
          <w:rPr>
            <w:rStyle w:val="a8"/>
            <w:rFonts w:ascii="Arial" w:hAnsi="Arial" w:cs="Arial"/>
            <w:sz w:val="24"/>
            <w:szCs w:val="24"/>
          </w:rPr>
          <w:t>https://bugaevskoe-r20.gosweb.gosuslugi.ru</w:t>
        </w:r>
      </w:hyperlink>
      <w:r w:rsidRPr="00BB4673">
        <w:rPr>
          <w:rFonts w:ascii="Arial" w:hAnsi="Arial" w:cs="Arial"/>
          <w:color w:val="000000" w:themeColor="text1"/>
          <w:sz w:val="24"/>
          <w:szCs w:val="24"/>
        </w:rPr>
        <w:t>, в том числе копии постановления,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указанного в п. 2.</w:t>
      </w:r>
      <w:r w:rsidR="00991211">
        <w:rPr>
          <w:rFonts w:ascii="Arial" w:hAnsi="Arial" w:cs="Arial"/>
          <w:color w:val="000000" w:themeColor="text1"/>
          <w:sz w:val="24"/>
          <w:szCs w:val="24"/>
        </w:rPr>
        <w:t>2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Положения, а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также путем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размещения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письменных объявлений о проведении схода граждан с аналогичной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информацией в предусмотренном Уставом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поселения для опубликования муниципальных правовых актов периодическом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печатном издании</w:t>
      </w:r>
      <w:r w:rsidR="00AF6BC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AF6BC5" w:rsidRPr="00BB4673">
        <w:rPr>
          <w:rFonts w:ascii="Arial" w:hAnsi="Arial" w:cs="Arial"/>
          <w:color w:val="000000" w:themeColor="text1"/>
          <w:sz w:val="24"/>
          <w:szCs w:val="24"/>
        </w:rPr>
        <w:t xml:space="preserve">Вестник муниципальных правовых актов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AF6BC5"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F53EC1">
        <w:rPr>
          <w:rFonts w:ascii="Arial" w:hAnsi="Arial" w:cs="Arial"/>
          <w:color w:val="000000" w:themeColor="text1"/>
          <w:sz w:val="24"/>
          <w:szCs w:val="24"/>
        </w:rPr>
        <w:t>»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gramEnd"/>
    </w:p>
    <w:p w:rsidR="00EA6359" w:rsidRPr="00BB4673" w:rsidRDefault="00991211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2.3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также обеспечивает возможность заблаговременного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(не позднее, чем за 20 рабочих дней до его проведения) ознакомления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заинтересованных лиц с вопросами, выносимыми на рассмотрение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граждан, а также имеющимися материалами по данным вопросам, в здании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поселения, расположенном по адресу: </w:t>
      </w:r>
      <w:r w:rsidR="00A160D1">
        <w:rPr>
          <w:rFonts w:ascii="Arial" w:hAnsi="Arial" w:cs="Arial"/>
          <w:color w:val="000000" w:themeColor="text1"/>
          <w:sz w:val="24"/>
          <w:szCs w:val="24"/>
        </w:rPr>
        <w:t>396703, Воронежская область, Кантемировский район, с. Бугаевка, ул. Лесная, 52.</w:t>
      </w:r>
    </w:p>
    <w:p w:rsidR="00040D74" w:rsidRPr="00991211" w:rsidRDefault="00040D74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 Порядок проведения схода граждан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3.1. Сход граждан, предусмотренный настоящим Положением, правомочен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при участии в нем </w:t>
      </w:r>
      <w:r w:rsidR="001D221A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половины обладающих избирательным правом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жителей населенного пункта</w:t>
      </w:r>
      <w:r w:rsidR="001D221A">
        <w:rPr>
          <w:rFonts w:ascii="Arial" w:hAnsi="Arial" w:cs="Arial"/>
          <w:color w:val="000000" w:themeColor="text1"/>
          <w:sz w:val="24"/>
          <w:szCs w:val="24"/>
        </w:rPr>
        <w:t xml:space="preserve"> (либо части его территории) или поселения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. Решение такого схода граждан считается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принятым, если за него проголосовало </w:t>
      </w:r>
      <w:r w:rsidR="00F969BB">
        <w:rPr>
          <w:rFonts w:ascii="Arial" w:hAnsi="Arial" w:cs="Arial"/>
          <w:color w:val="000000" w:themeColor="text1"/>
          <w:sz w:val="24"/>
          <w:szCs w:val="24"/>
        </w:rPr>
        <w:t>более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половины участников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Перед открытием схода граждан проводится регистрация его участников с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указанием фамилии, имени, отчества, даты рождения, адреса места жительства.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3.2. При наличии кворума для проведения голосования, установленного по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результатам регистрации участников схода, участникам схода выдаются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бюллетени для голосования, после чего глава поселения (лицо, исполняющее его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полномочия) выносит на голосование вопрос об избрании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председательствующего на сходе. Председательствующим избирается кандидат,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набравший максимальное количество голосов присутствующих.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При отсутствии кворума для голосования сход граждан признается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несостоявшимся, о чем администрацией поселения в течение 5 рабочих дней </w:t>
      </w: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End"/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даты его предполагаемого проведения выносится постановление с указанием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количества зарегистрированного количества участников схода и требуемого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количества участников. Главой поселения (лицом, исполняющим его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обязанностей) с учетом требований настоящего Положения объявляется дата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проведения нового схода граждан. Исключение вопросов, внесенных в повестку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дня, при назначении нового схода граждан в этом случае не допускается.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3.3. После избрания председательствующего сход граждан избирает свой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рабочий орган - Счетную комиссию. Количественный и персональный состав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Счетной комиссии утверждается сходом граждан. Количество членов Счетной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комиссии не может быть менее трех человек.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Счетную комиссию не может входить глава поселения. Сход граждан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вправе в ходе проведения схода переизбрать Счетную комиссию, полностью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Счетная комиссия проверяет правильность регистрации прибывающих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 граждан жителей поселения, проверяет при необходимости их право на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участие в работе схода граждан, определяет кворум схода 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регистрации оглашаются на сходе 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Счетная комиссия, кроме того: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дает разъяснения по вопросам голосования;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подсчитывает голоса и подводит итоги голосования;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участвует в составлении протокола об итогах голосования;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- передает в архив администрации поселения материалы с результатами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 (бюллетени, список участников и др.).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3.4. После избрания председательствующего и Счетной комиссии,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председательствующий объявляет вопросы, голосование по которым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запланировано на соответствующем сходе и предлагает присутствующим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проголосовать по каждому из них. Голосование проводится с помощью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специально подготовленных бюллетеней (приложение № 1 к Положению). После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 Счетная комиссия осуществляет подсчет голосов и оглашает итоги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голосования. Результаты голосования отражаются в протоколе заседания схода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п. 3.5 настоящего Положения.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3.5. Протоколирование хода голосования на сходе граждан осуществляется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уполномоченным сотрудником администрации поселения.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 протоколе схода граждан (приложение № 2 к Положению) указываются: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дата и место проведения схода граждан;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общее число граждан, проживающих на соответствующей территории 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имеющих право принимать участие в сходе граждан;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количество присутствующих;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фамилия, имя, отчество председательствующего на сходе граждан,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секретаря и членов Счетной комиссии схода граждан;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повестка дня;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краткое содержание выступлений;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- результаты голосования и принятые решения.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Протокол подписывается лицом, председательствующим на сходе граждан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 секретарем схода граждан. К протоколу прикладывается список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зарегистрированных участников схода граждан.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3.6. Протокол схода граждан изготавливается в течение 5 рабочих дней со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дня проведения схода граждан и хранится в администрации не менее 5 лет со дня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изготовления вместе с иными письменными материалами, которые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использовались при его составлении.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3.7. </w:t>
      </w: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Принятые на сходе граждан решения подлежат официальному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опубликованию (обнародованию) в порядке, предусмотренном Уставом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5159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для опубликования муниципальных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нормативных правовых актов </w:t>
      </w:r>
      <w:r w:rsidR="0015159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в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сроки, предусмотренные Уставом </w:t>
      </w:r>
      <w:r w:rsidR="0015159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и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(или) муниципальным правовым актом </w:t>
      </w:r>
      <w:r w:rsidR="008166D4">
        <w:rPr>
          <w:rFonts w:ascii="Arial" w:hAnsi="Arial" w:cs="Arial"/>
          <w:color w:val="000000" w:themeColor="text1"/>
          <w:sz w:val="24"/>
          <w:szCs w:val="24"/>
        </w:rPr>
        <w:t xml:space="preserve">Совета народных депутатов </w:t>
      </w:r>
      <w:r w:rsidR="00151590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8166D4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поселения, но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не позднее 30 дней со дня изготовления протокола схода.</w:t>
      </w:r>
      <w:proofErr w:type="gramEnd"/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3.8. В случае</w:t>
      </w:r>
      <w:proofErr w:type="gramStart"/>
      <w:r w:rsidRPr="00BB4673">
        <w:rPr>
          <w:rFonts w:ascii="Arial" w:hAnsi="Arial" w:cs="Arial"/>
          <w:color w:val="000000" w:themeColor="text1"/>
          <w:sz w:val="24"/>
          <w:szCs w:val="24"/>
        </w:rPr>
        <w:t>,</w:t>
      </w:r>
      <w:proofErr w:type="gramEnd"/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 если по результатам схода требуется принятие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муниципальных правовых актов органами местного самоуправления поселения,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указанные акты принимаются не позднее 30 дней со дня составления протокола</w:t>
      </w:r>
      <w:r w:rsidR="00040D74" w:rsidRPr="00040D7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>схода граждан, если иное не предусмотрено действующим законодательством.</w:t>
      </w:r>
    </w:p>
    <w:p w:rsidR="00040D74" w:rsidRDefault="00040D7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6359" w:rsidRPr="00BB4673" w:rsidRDefault="00EA6359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 к Положению</w:t>
      </w:r>
    </w:p>
    <w:p w:rsidR="007B66A3" w:rsidRPr="00BB4673" w:rsidRDefault="007B66A3" w:rsidP="003D198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89"/>
        <w:gridCol w:w="2119"/>
        <w:gridCol w:w="2222"/>
        <w:gridCol w:w="3117"/>
      </w:tblGrid>
      <w:tr w:rsidR="00BB4673" w:rsidRPr="00BB4673" w:rsidTr="00047F93">
        <w:tc>
          <w:tcPr>
            <w:tcW w:w="9747" w:type="dxa"/>
            <w:gridSpan w:val="4"/>
          </w:tcPr>
          <w:p w:rsidR="005B6C9F" w:rsidRPr="00BB4673" w:rsidRDefault="005B6C9F" w:rsidP="008A73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Бюллетень для голосования (сход граждан </w:t>
            </w:r>
            <w:r w:rsidR="00151590">
              <w:rPr>
                <w:rFonts w:ascii="Arial" w:hAnsi="Arial" w:cs="Arial"/>
                <w:color w:val="000000" w:themeColor="text1"/>
                <w:szCs w:val="24"/>
              </w:rPr>
              <w:t>Бугаевского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сельского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поселения 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>Кантемировского</w:t>
            </w:r>
            <w:r w:rsidRPr="00BB4673">
              <w:rPr>
                <w:rFonts w:ascii="Arial" w:hAnsi="Arial" w:cs="Arial"/>
                <w:color w:val="000000" w:themeColor="text1"/>
                <w:szCs w:val="24"/>
              </w:rPr>
              <w:t xml:space="preserve"> муниципального района Воронежской области от</w:t>
            </w:r>
            <w:r w:rsidR="008A7314"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proofErr w:type="spell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дд.мм</w:t>
            </w:r>
            <w:proofErr w:type="gram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.г</w:t>
            </w:r>
            <w:proofErr w:type="gramEnd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г</w:t>
            </w:r>
            <w:proofErr w:type="spellEnd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)</w:t>
            </w:r>
          </w:p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ФИО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1</w:t>
            </w: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</w:t>
            </w:r>
            <w:proofErr w:type="gram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против/воздержался</w:t>
            </w:r>
            <w:proofErr w:type="gramEnd"/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2</w:t>
            </w: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</w:t>
            </w:r>
            <w:proofErr w:type="gram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против/воздержался</w:t>
            </w:r>
            <w:proofErr w:type="gramEnd"/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место жительства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вопрос 2</w:t>
            </w: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за/</w:t>
            </w:r>
            <w:proofErr w:type="gramStart"/>
            <w:r w:rsidRPr="00BB4673">
              <w:rPr>
                <w:rFonts w:ascii="Arial" w:hAnsi="Arial" w:cs="Arial"/>
                <w:color w:val="000000" w:themeColor="text1"/>
                <w:szCs w:val="24"/>
              </w:rPr>
              <w:t>против/воздержался</w:t>
            </w:r>
            <w:proofErr w:type="gramEnd"/>
          </w:p>
        </w:tc>
      </w:tr>
      <w:tr w:rsidR="00BB4673" w:rsidRPr="00BB4673" w:rsidTr="00047F93">
        <w:tc>
          <w:tcPr>
            <w:tcW w:w="228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B4673">
              <w:rPr>
                <w:rFonts w:ascii="Arial" w:hAnsi="Arial" w:cs="Arial"/>
                <w:color w:val="000000" w:themeColor="text1"/>
                <w:szCs w:val="24"/>
              </w:rPr>
              <w:t>дата, подпись</w:t>
            </w:r>
          </w:p>
        </w:tc>
        <w:tc>
          <w:tcPr>
            <w:tcW w:w="2119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222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3117" w:type="dxa"/>
          </w:tcPr>
          <w:p w:rsidR="005B6C9F" w:rsidRPr="00BB4673" w:rsidRDefault="005B6C9F" w:rsidP="003D19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5B6C9F" w:rsidRPr="00BB4673" w:rsidRDefault="005B6C9F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A6359" w:rsidRPr="00BB4673" w:rsidRDefault="00EA6359" w:rsidP="007872C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 к Положению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ПРОТОКОЛ СХОДА ГРАЖДАН</w:t>
      </w:r>
    </w:p>
    <w:p w:rsidR="005B6C9F" w:rsidRPr="00BB4673" w:rsidRDefault="00B50F67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 сельского поселения</w:t>
      </w:r>
    </w:p>
    <w:p w:rsidR="007872C9" w:rsidRDefault="007872C9" w:rsidP="007872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«___» __________ года</w:t>
      </w:r>
    </w:p>
    <w:p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(дата проведения)</w:t>
      </w:r>
    </w:p>
    <w:p w:rsidR="00EA6359" w:rsidRPr="00BB4673" w:rsidRDefault="00EA6359" w:rsidP="00B50F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(место проведения)</w:t>
      </w:r>
    </w:p>
    <w:p w:rsidR="005B6C9F" w:rsidRPr="00BB4673" w:rsidRDefault="005B6C9F" w:rsidP="00D46F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</w:t>
      </w:r>
      <w:r w:rsidR="00D46F3B">
        <w:rPr>
          <w:rFonts w:ascii="Arial" w:hAnsi="Arial" w:cs="Arial"/>
          <w:color w:val="000000" w:themeColor="text1"/>
          <w:sz w:val="24"/>
          <w:szCs w:val="24"/>
        </w:rPr>
        <w:t>_________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общее число граждан, проживающих на (соответствующей территории)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и имеющих право на участие в сходе граждан</w:t>
      </w:r>
    </w:p>
    <w:p w:rsidR="005B6C9F" w:rsidRPr="00BB4673" w:rsidRDefault="005B6C9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Присутствовали: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 схода граждан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DF325F" w:rsidRPr="00BB4673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Секретарь схода граждан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(фамилия, имя, отчество)</w:t>
      </w:r>
    </w:p>
    <w:p w:rsidR="00DF325F" w:rsidRPr="00BB4673" w:rsidRDefault="00DF325F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ПОВЕСТКА ДНЯ:</w:t>
      </w:r>
    </w:p>
    <w:p w:rsidR="00EA6359" w:rsidRPr="00B50F67" w:rsidRDefault="00B50F67" w:rsidP="00B5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0F67">
        <w:rPr>
          <w:rFonts w:ascii="Arial" w:hAnsi="Arial" w:cs="Arial"/>
          <w:color w:val="000000" w:themeColor="text1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A6359" w:rsidRPr="00B50F67">
        <w:rPr>
          <w:rFonts w:ascii="Arial" w:hAnsi="Arial" w:cs="Arial"/>
          <w:color w:val="000000" w:themeColor="text1"/>
          <w:sz w:val="24"/>
          <w:szCs w:val="24"/>
        </w:rPr>
        <w:t>О _______________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(Доклад)</w:t>
      </w:r>
    </w:p>
    <w:p w:rsidR="00EA6359" w:rsidRPr="00BB4673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</w:t>
      </w:r>
      <w:r w:rsidR="00B50F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B4673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(Информация)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1. Слушали: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 или (текст доклада прилагается)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Выступили: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Результаты голосования «за»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«против»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«воздержался» Решение принято (не принято)</w:t>
      </w:r>
    </w:p>
    <w:p w:rsidR="00B50F67" w:rsidRDefault="00B50F67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2. Слушали: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 или (текст доклада прилагается)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Выступили: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краткая запись выступления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(Ф.И.О.)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Решили: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Результаты голосования «за»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«против»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«воздержался» Решение принято (не принято)</w:t>
      </w:r>
    </w:p>
    <w:p w:rsidR="00F96B6B" w:rsidRPr="00BB4673" w:rsidRDefault="00F96B6B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Председатель схода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 __________________________ ______________________________</w:t>
      </w:r>
    </w:p>
    <w:p w:rsidR="00EA6359" w:rsidRPr="00BB4673" w:rsidRDefault="00151590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(подпись)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Секретарь схода</w:t>
      </w:r>
    </w:p>
    <w:p w:rsidR="00EA6359" w:rsidRPr="00BB4673" w:rsidRDefault="00EA6359" w:rsidP="00BB46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B4673">
        <w:rPr>
          <w:rFonts w:ascii="Arial" w:hAnsi="Arial" w:cs="Arial"/>
          <w:color w:val="000000" w:themeColor="text1"/>
          <w:sz w:val="24"/>
          <w:szCs w:val="24"/>
        </w:rPr>
        <w:t>граждан __________________________ ______________________________</w:t>
      </w:r>
    </w:p>
    <w:p w:rsidR="00EB71A7" w:rsidRPr="00BB4673" w:rsidRDefault="00151590" w:rsidP="00BB467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 xml:space="preserve">(подпись)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</w:t>
      </w:r>
      <w:r w:rsidR="00EA6359" w:rsidRPr="00BB4673">
        <w:rPr>
          <w:rFonts w:ascii="Arial" w:hAnsi="Arial" w:cs="Arial"/>
          <w:color w:val="000000" w:themeColor="text1"/>
          <w:sz w:val="24"/>
          <w:szCs w:val="24"/>
        </w:rPr>
        <w:t>(расшифровка подписи)</w:t>
      </w:r>
    </w:p>
    <w:sectPr w:rsidR="00EB71A7" w:rsidRPr="00BB4673" w:rsidSect="00BB4673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94C"/>
    <w:multiLevelType w:val="hybridMultilevel"/>
    <w:tmpl w:val="2216E718"/>
    <w:lvl w:ilvl="0" w:tplc="6902C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528"/>
    <w:rsid w:val="0000252D"/>
    <w:rsid w:val="00033D7B"/>
    <w:rsid w:val="00040D74"/>
    <w:rsid w:val="00041A23"/>
    <w:rsid w:val="00043993"/>
    <w:rsid w:val="00047F93"/>
    <w:rsid w:val="00151590"/>
    <w:rsid w:val="00186596"/>
    <w:rsid w:val="001D221A"/>
    <w:rsid w:val="001D3258"/>
    <w:rsid w:val="002F3869"/>
    <w:rsid w:val="003152B9"/>
    <w:rsid w:val="003C64E2"/>
    <w:rsid w:val="003D1980"/>
    <w:rsid w:val="005B6C9F"/>
    <w:rsid w:val="006A15C8"/>
    <w:rsid w:val="006F0FAA"/>
    <w:rsid w:val="007311E7"/>
    <w:rsid w:val="007872C9"/>
    <w:rsid w:val="007B07E5"/>
    <w:rsid w:val="007B66A3"/>
    <w:rsid w:val="008166D4"/>
    <w:rsid w:val="008A7314"/>
    <w:rsid w:val="008B4D64"/>
    <w:rsid w:val="008C0528"/>
    <w:rsid w:val="008F5799"/>
    <w:rsid w:val="00991211"/>
    <w:rsid w:val="009E20AD"/>
    <w:rsid w:val="00A160D1"/>
    <w:rsid w:val="00A672B8"/>
    <w:rsid w:val="00AF6BC5"/>
    <w:rsid w:val="00B17F04"/>
    <w:rsid w:val="00B40D82"/>
    <w:rsid w:val="00B50F67"/>
    <w:rsid w:val="00B817AA"/>
    <w:rsid w:val="00BB4673"/>
    <w:rsid w:val="00CE662D"/>
    <w:rsid w:val="00CF68EE"/>
    <w:rsid w:val="00D11F39"/>
    <w:rsid w:val="00D46F3B"/>
    <w:rsid w:val="00DF325F"/>
    <w:rsid w:val="00E94B79"/>
    <w:rsid w:val="00EA6359"/>
    <w:rsid w:val="00EB71A7"/>
    <w:rsid w:val="00EE3F21"/>
    <w:rsid w:val="00F13528"/>
    <w:rsid w:val="00F53EC1"/>
    <w:rsid w:val="00F87AE5"/>
    <w:rsid w:val="00F969BB"/>
    <w:rsid w:val="00F9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3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635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0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99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160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3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6359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0F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3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gaev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BEE52-7D2A-4A2B-8DE0-ADA5205C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47</cp:revision>
  <cp:lastPrinted>2024-07-12T08:24:00Z</cp:lastPrinted>
  <dcterms:created xsi:type="dcterms:W3CDTF">2024-07-12T06:47:00Z</dcterms:created>
  <dcterms:modified xsi:type="dcterms:W3CDTF">2024-08-01T05:24:00Z</dcterms:modified>
</cp:coreProperties>
</file>